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83F8" w14:textId="77777777" w:rsidR="00E12612" w:rsidRPr="00B53BA1" w:rsidRDefault="00E12612" w:rsidP="00E12612">
      <w:pPr>
        <w:spacing w:after="0" w:line="240" w:lineRule="auto"/>
        <w:jc w:val="center"/>
        <w:rPr>
          <w:rFonts w:ascii="Arial Narrow" w:hAnsi="Arial Narrow" w:cs="Lucida Sans Unicode"/>
          <w:b/>
          <w:bCs/>
          <w:sz w:val="24"/>
          <w:szCs w:val="24"/>
        </w:rPr>
      </w:pPr>
      <w:r w:rsidRPr="00B53BA1">
        <w:rPr>
          <w:rFonts w:ascii="Arial Narrow" w:hAnsi="Arial Narrow" w:cs="Lucida Sans Unicode"/>
          <w:b/>
          <w:bCs/>
          <w:sz w:val="24"/>
          <w:szCs w:val="24"/>
        </w:rPr>
        <w:t xml:space="preserve">Attachment A </w:t>
      </w:r>
    </w:p>
    <w:p w14:paraId="2A8C837B" w14:textId="77777777" w:rsidR="00E12612" w:rsidRPr="00B53BA1" w:rsidRDefault="00E12612" w:rsidP="00E12612">
      <w:pPr>
        <w:spacing w:after="0" w:line="240" w:lineRule="auto"/>
        <w:jc w:val="center"/>
        <w:rPr>
          <w:rFonts w:ascii="Arial Narrow" w:hAnsi="Arial Narrow" w:cs="Lucida Sans Unicode"/>
          <w:b/>
          <w:bCs/>
          <w:sz w:val="24"/>
          <w:szCs w:val="24"/>
        </w:rPr>
      </w:pPr>
      <w:r w:rsidRPr="00B53BA1">
        <w:rPr>
          <w:rFonts w:ascii="Arial Narrow" w:hAnsi="Arial Narrow" w:cs="Lucida Sans Unicode"/>
          <w:b/>
          <w:bCs/>
          <w:sz w:val="24"/>
          <w:szCs w:val="24"/>
        </w:rPr>
        <w:t>General Information</w:t>
      </w:r>
      <w:r>
        <w:rPr>
          <w:rFonts w:ascii="Arial Narrow" w:hAnsi="Arial Narrow" w:cs="Lucida Sans Unicode"/>
          <w:b/>
          <w:bCs/>
          <w:sz w:val="24"/>
          <w:szCs w:val="24"/>
        </w:rPr>
        <w:t xml:space="preserve"> and Pricing Sheet</w:t>
      </w:r>
    </w:p>
    <w:p w14:paraId="6B9CDCF9" w14:textId="77777777" w:rsidR="00E12612" w:rsidRPr="00B53BA1" w:rsidRDefault="00E12612" w:rsidP="00E12612">
      <w:pPr>
        <w:spacing w:after="0" w:line="240" w:lineRule="auto"/>
        <w:rPr>
          <w:rFonts w:ascii="Arial Narrow" w:hAnsi="Arial Narrow" w:cs="Lucida Sans Unicode"/>
          <w:bCs/>
          <w:sz w:val="24"/>
          <w:szCs w:val="24"/>
        </w:rPr>
      </w:pPr>
    </w:p>
    <w:p w14:paraId="7BD62DBF" w14:textId="77777777" w:rsidR="00E12612" w:rsidRDefault="00E12612" w:rsidP="00E12612">
      <w:pPr>
        <w:pStyle w:val="ListParagraph"/>
        <w:numPr>
          <w:ilvl w:val="6"/>
          <w:numId w:val="1"/>
        </w:numPr>
        <w:tabs>
          <w:tab w:val="clear" w:pos="2520"/>
        </w:tabs>
        <w:spacing w:after="0" w:line="240" w:lineRule="auto"/>
        <w:ind w:left="806"/>
        <w:contextualSpacing w:val="0"/>
        <w:rPr>
          <w:rFonts w:ascii="Arial Narrow" w:hAnsi="Arial Narrow" w:cs="Lucida Sans Unicode"/>
          <w:sz w:val="24"/>
          <w:szCs w:val="24"/>
        </w:rPr>
      </w:pPr>
      <w:r w:rsidRPr="00B53BA1">
        <w:rPr>
          <w:rFonts w:ascii="Arial Narrow" w:hAnsi="Arial Narrow" w:cs="Lucida Sans Unicode"/>
          <w:sz w:val="24"/>
          <w:szCs w:val="24"/>
        </w:rPr>
        <w:t>Respondents must submit products, services, warranties, etc.</w:t>
      </w:r>
      <w:r>
        <w:rPr>
          <w:rFonts w:ascii="Arial Narrow" w:hAnsi="Arial Narrow" w:cs="Lucida Sans Unicode"/>
          <w:sz w:val="24"/>
          <w:szCs w:val="24"/>
        </w:rPr>
        <w:t>,</w:t>
      </w:r>
      <w:r w:rsidRPr="00B53BA1">
        <w:rPr>
          <w:rFonts w:ascii="Arial Narrow" w:hAnsi="Arial Narrow" w:cs="Lucida Sans Unicode"/>
          <w:sz w:val="24"/>
          <w:szCs w:val="24"/>
        </w:rPr>
        <w:t xml:space="preserve"> </w:t>
      </w:r>
      <w:r>
        <w:rPr>
          <w:rFonts w:ascii="Arial Narrow" w:hAnsi="Arial Narrow" w:cs="Lucida Sans Unicode"/>
          <w:sz w:val="24"/>
          <w:szCs w:val="24"/>
        </w:rPr>
        <w:t xml:space="preserve">on the </w:t>
      </w:r>
      <w:r w:rsidRPr="00B53BA1">
        <w:rPr>
          <w:rFonts w:ascii="Arial Narrow" w:hAnsi="Arial Narrow" w:cs="Lucida Sans Unicode"/>
          <w:sz w:val="24"/>
          <w:szCs w:val="24"/>
        </w:rPr>
        <w:t>price list.</w:t>
      </w:r>
    </w:p>
    <w:p w14:paraId="62A5EACD" w14:textId="77777777" w:rsidR="00E12612" w:rsidRPr="00E03347" w:rsidRDefault="00E12612" w:rsidP="00E12612">
      <w:pPr>
        <w:pStyle w:val="ListParagraph"/>
        <w:spacing w:after="0" w:line="240" w:lineRule="auto"/>
        <w:ind w:left="806"/>
        <w:contextualSpacing w:val="0"/>
        <w:rPr>
          <w:rFonts w:ascii="Arial Narrow" w:hAnsi="Arial Narrow" w:cs="Lucida Sans Unicode"/>
          <w:sz w:val="24"/>
          <w:szCs w:val="24"/>
        </w:rPr>
      </w:pPr>
    </w:p>
    <w:p w14:paraId="122DA267" w14:textId="77777777" w:rsidR="00E12612" w:rsidRPr="008C1686" w:rsidRDefault="00E12612" w:rsidP="00E12612">
      <w:pPr>
        <w:spacing w:after="0" w:line="240" w:lineRule="auto"/>
        <w:rPr>
          <w:rFonts w:ascii="Arial Narrow" w:hAnsi="Arial Narrow" w:cs="Lucida Sans Unicode"/>
          <w:b/>
          <w:bCs/>
          <w:sz w:val="24"/>
          <w:szCs w:val="24"/>
        </w:rPr>
      </w:pPr>
      <w:r w:rsidRPr="008C1686">
        <w:rPr>
          <w:rFonts w:ascii="Arial Narrow" w:hAnsi="Arial Narrow" w:cs="Lucida Sans Unicode"/>
          <w:b/>
          <w:bCs/>
          <w:sz w:val="24"/>
          <w:szCs w:val="24"/>
        </w:rPr>
        <w:t>Not to Exceed Pricing</w:t>
      </w:r>
    </w:p>
    <w:p w14:paraId="7BBBFA6B" w14:textId="77777777" w:rsidR="00E12612" w:rsidRPr="008C1686" w:rsidRDefault="00E12612" w:rsidP="00E12612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Lucida Sans Unicode"/>
          <w:sz w:val="24"/>
          <w:szCs w:val="24"/>
        </w:rPr>
      </w:pPr>
      <w:r w:rsidRPr="008C1686">
        <w:rPr>
          <w:rFonts w:ascii="Arial Narrow" w:hAnsi="Arial Narrow" w:cs="Lucida Sans Unicode"/>
          <w:sz w:val="24"/>
          <w:szCs w:val="24"/>
        </w:rPr>
        <w:t xml:space="preserve">Huron Valley Schools requests </w:t>
      </w:r>
      <w:r>
        <w:rPr>
          <w:rFonts w:ascii="Arial Narrow" w:hAnsi="Arial Narrow" w:cs="Lucida Sans Unicode"/>
          <w:sz w:val="24"/>
          <w:szCs w:val="24"/>
        </w:rPr>
        <w:t xml:space="preserve">that </w:t>
      </w:r>
      <w:r w:rsidRPr="008C1686">
        <w:rPr>
          <w:rFonts w:ascii="Arial Narrow" w:hAnsi="Arial Narrow" w:cs="Lucida Sans Unicode"/>
          <w:sz w:val="24"/>
          <w:szCs w:val="24"/>
        </w:rPr>
        <w:t>pricing be submitted as not to exceed for any participating entity.</w:t>
      </w:r>
    </w:p>
    <w:p w14:paraId="7582D321" w14:textId="77777777" w:rsidR="00E12612" w:rsidRPr="008C1686" w:rsidRDefault="00E12612" w:rsidP="00E12612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Lucida Sans Unicode"/>
          <w:sz w:val="24"/>
          <w:szCs w:val="24"/>
        </w:rPr>
      </w:pPr>
      <w:r w:rsidRPr="008C1686">
        <w:rPr>
          <w:rFonts w:ascii="Arial Narrow" w:hAnsi="Arial Narrow" w:cs="Lucida Sans Unicode"/>
          <w:sz w:val="24"/>
          <w:szCs w:val="24"/>
        </w:rPr>
        <w:t>Unlike fixed pricing the awarded vendor can adjust submitted pricing lower</w:t>
      </w:r>
      <w:r>
        <w:rPr>
          <w:rFonts w:ascii="Arial Narrow" w:hAnsi="Arial Narrow" w:cs="Lucida Sans Unicode"/>
          <w:sz w:val="24"/>
          <w:szCs w:val="24"/>
        </w:rPr>
        <w:t>,</w:t>
      </w:r>
      <w:r w:rsidRPr="008C1686">
        <w:rPr>
          <w:rFonts w:ascii="Arial Narrow" w:hAnsi="Arial Narrow" w:cs="Lucida Sans Unicode"/>
          <w:sz w:val="24"/>
          <w:szCs w:val="24"/>
        </w:rPr>
        <w:t xml:space="preserve"> if needed, but cannot exceed original pricing submitted for the solicitation. Volume or spot market conditions may allow for one-time discounts for participating entities.</w:t>
      </w:r>
    </w:p>
    <w:p w14:paraId="36EA875C" w14:textId="77777777" w:rsidR="00E12612" w:rsidRPr="00F3637E" w:rsidRDefault="00E12612" w:rsidP="00E12612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C1686">
        <w:rPr>
          <w:rFonts w:ascii="Arial Narrow" w:hAnsi="Arial Narrow" w:cs="Arial"/>
          <w:sz w:val="24"/>
          <w:szCs w:val="24"/>
        </w:rPr>
        <w:t>Vendor must allow for lower pricing to be available for similar product and service purchases under the same market conditions</w:t>
      </w:r>
      <w:r w:rsidRPr="00F3637E">
        <w:rPr>
          <w:rFonts w:ascii="Arial Narrow" w:hAnsi="Arial Narrow" w:cs="Arial"/>
          <w:sz w:val="24"/>
          <w:szCs w:val="24"/>
        </w:rPr>
        <w:t>.</w:t>
      </w:r>
    </w:p>
    <w:p w14:paraId="5E579D53" w14:textId="77777777" w:rsidR="00E12612" w:rsidRPr="00F3637E" w:rsidRDefault="00E12612" w:rsidP="00E12612">
      <w:pPr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14:paraId="623B6F3D" w14:textId="77777777" w:rsidR="00E12612" w:rsidRPr="00564857" w:rsidRDefault="00E12612" w:rsidP="00E12612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564857">
        <w:rPr>
          <w:rFonts w:ascii="Arial Narrow" w:hAnsi="Arial Narrow" w:cs="Arial"/>
          <w:b/>
          <w:bCs/>
          <w:sz w:val="24"/>
          <w:szCs w:val="24"/>
        </w:rPr>
        <w:t>General Information</w:t>
      </w:r>
    </w:p>
    <w:p w14:paraId="1D275B31" w14:textId="77777777" w:rsidR="00E12612" w:rsidRPr="00564857" w:rsidRDefault="00E12612" w:rsidP="00E12612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  <w:r w:rsidRPr="00564857">
        <w:rPr>
          <w:rFonts w:ascii="Arial Narrow" w:hAnsi="Arial Narrow" w:cs="Arial"/>
          <w:sz w:val="24"/>
          <w:szCs w:val="24"/>
        </w:rPr>
        <w:t xml:space="preserve">It is the intent of </w:t>
      </w:r>
      <w:r>
        <w:rPr>
          <w:rFonts w:ascii="Arial Narrow" w:hAnsi="Arial Narrow" w:cs="Arial"/>
          <w:sz w:val="24"/>
          <w:szCs w:val="24"/>
        </w:rPr>
        <w:t>Huron Valley Schools</w:t>
      </w:r>
      <w:r w:rsidRPr="00564857">
        <w:rPr>
          <w:rFonts w:ascii="Arial Narrow" w:hAnsi="Arial Narrow" w:cs="Arial"/>
          <w:sz w:val="24"/>
          <w:szCs w:val="24"/>
        </w:rPr>
        <w:t xml:space="preserve"> to always provide the best price and value to its participants. The Vendor must be able to provide a pricing methodology for its products and services that will ensure that </w:t>
      </w:r>
      <w:r>
        <w:rPr>
          <w:rFonts w:ascii="Arial Narrow" w:hAnsi="Arial Narrow" w:cs="Arial"/>
          <w:sz w:val="24"/>
          <w:szCs w:val="24"/>
        </w:rPr>
        <w:t>Huron Valley Schools</w:t>
      </w:r>
      <w:r w:rsidRPr="00564857">
        <w:rPr>
          <w:rFonts w:ascii="Arial Narrow" w:hAnsi="Arial Narrow" w:cs="Arial"/>
          <w:sz w:val="24"/>
          <w:szCs w:val="24"/>
        </w:rPr>
        <w:t xml:space="preserve"> is always getting the best and most competitive price available.</w:t>
      </w:r>
    </w:p>
    <w:p w14:paraId="09E22D16" w14:textId="77777777" w:rsidR="00E12612" w:rsidRDefault="00E12612" w:rsidP="00E12612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  <w:r w:rsidRPr="00936F47">
        <w:rPr>
          <w:rFonts w:ascii="Arial Narrow" w:hAnsi="Arial Narrow" w:cs="Arial"/>
          <w:sz w:val="24"/>
          <w:szCs w:val="24"/>
        </w:rPr>
        <w:t xml:space="preserve">The products and services provided by this contract may be acquired utilizing many different methods by the participating members of Huron Valley Schools. </w:t>
      </w:r>
    </w:p>
    <w:tbl>
      <w:tblPr>
        <w:tblStyle w:val="TableGrid1"/>
        <w:tblpPr w:leftFromText="180" w:rightFromText="180" w:vertAnchor="text" w:horzAnchor="margin" w:tblpXSpec="center" w:tblpY="421"/>
        <w:tblW w:w="6398" w:type="pct"/>
        <w:tblLook w:val="0660" w:firstRow="1" w:lastRow="1" w:firstColumn="0" w:lastColumn="0" w:noHBand="1" w:noVBand="1"/>
      </w:tblPr>
      <w:tblGrid>
        <w:gridCol w:w="2042"/>
        <w:gridCol w:w="1826"/>
        <w:gridCol w:w="1826"/>
        <w:gridCol w:w="1826"/>
        <w:gridCol w:w="2283"/>
        <w:gridCol w:w="2161"/>
      </w:tblGrid>
      <w:tr w:rsidR="00E12612" w14:paraId="0A76C9EF" w14:textId="77777777" w:rsidTr="00717509">
        <w:tc>
          <w:tcPr>
            <w:tcW w:w="853" w:type="pct"/>
            <w:noWrap/>
          </w:tcPr>
          <w:p w14:paraId="44E86701" w14:textId="77777777" w:rsidR="00E12612" w:rsidRDefault="00E12612" w:rsidP="00717509">
            <w:pPr>
              <w:jc w:val="center"/>
            </w:pPr>
            <w:r>
              <w:t>Item #</w:t>
            </w:r>
          </w:p>
        </w:tc>
        <w:tc>
          <w:tcPr>
            <w:tcW w:w="763" w:type="pct"/>
          </w:tcPr>
          <w:p w14:paraId="22C46C2E" w14:textId="77777777" w:rsidR="00E12612" w:rsidRDefault="00E12612" w:rsidP="00717509">
            <w:pPr>
              <w:jc w:val="center"/>
            </w:pPr>
            <w:r>
              <w:t>Pizza Type</w:t>
            </w:r>
          </w:p>
        </w:tc>
        <w:tc>
          <w:tcPr>
            <w:tcW w:w="763" w:type="pct"/>
          </w:tcPr>
          <w:p w14:paraId="6476D9E1" w14:textId="77777777" w:rsidR="00E12612" w:rsidRDefault="00E12612" w:rsidP="00717509">
            <w:pPr>
              <w:jc w:val="center"/>
            </w:pPr>
            <w:r>
              <w:t>Estimated Annual Qty.</w:t>
            </w:r>
          </w:p>
        </w:tc>
        <w:tc>
          <w:tcPr>
            <w:tcW w:w="763" w:type="pct"/>
          </w:tcPr>
          <w:p w14:paraId="3E917D48" w14:textId="77777777" w:rsidR="00E12612" w:rsidRDefault="00E12612" w:rsidP="00717509">
            <w:pPr>
              <w:jc w:val="center"/>
            </w:pPr>
            <w:r>
              <w:t>Unit Price ($)</w:t>
            </w:r>
          </w:p>
        </w:tc>
        <w:tc>
          <w:tcPr>
            <w:tcW w:w="954" w:type="pct"/>
          </w:tcPr>
          <w:p w14:paraId="6E800640" w14:textId="77777777" w:rsidR="00E12612" w:rsidRDefault="00E12612" w:rsidP="00717509">
            <w:pPr>
              <w:jc w:val="center"/>
            </w:pPr>
            <w:r>
              <w:t>HVS/CoPro+ Price ($)</w:t>
            </w:r>
          </w:p>
        </w:tc>
        <w:tc>
          <w:tcPr>
            <w:tcW w:w="903" w:type="pct"/>
          </w:tcPr>
          <w:p w14:paraId="407CAFF3" w14:textId="77777777" w:rsidR="00E12612" w:rsidRDefault="00E12612" w:rsidP="00717509">
            <w:pPr>
              <w:jc w:val="center"/>
            </w:pPr>
            <w:r>
              <w:t>Notes</w:t>
            </w:r>
          </w:p>
        </w:tc>
      </w:tr>
      <w:tr w:rsidR="00E12612" w14:paraId="244B3267" w14:textId="77777777" w:rsidTr="00717509">
        <w:trPr>
          <w:trHeight w:val="1175"/>
        </w:trPr>
        <w:tc>
          <w:tcPr>
            <w:tcW w:w="853" w:type="pct"/>
            <w:noWrap/>
          </w:tcPr>
          <w:p w14:paraId="0A2D8256" w14:textId="77777777" w:rsidR="00E12612" w:rsidRDefault="00E12612" w:rsidP="00717509"/>
        </w:tc>
        <w:tc>
          <w:tcPr>
            <w:tcW w:w="763" w:type="pct"/>
          </w:tcPr>
          <w:p w14:paraId="0EEDCCAD" w14:textId="77777777" w:rsidR="00E12612" w:rsidRDefault="00E12612" w:rsidP="00717509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Cheese Pizza</w:t>
            </w:r>
          </w:p>
        </w:tc>
        <w:tc>
          <w:tcPr>
            <w:tcW w:w="763" w:type="pct"/>
          </w:tcPr>
          <w:p w14:paraId="53D1BB80" w14:textId="77777777" w:rsidR="00E12612" w:rsidRDefault="00E12612" w:rsidP="00717509">
            <w:pPr>
              <w:jc w:val="center"/>
            </w:pPr>
            <w:r>
              <w:t>5,000</w:t>
            </w:r>
          </w:p>
        </w:tc>
        <w:tc>
          <w:tcPr>
            <w:tcW w:w="763" w:type="pct"/>
          </w:tcPr>
          <w:p w14:paraId="504FF4F7" w14:textId="77777777" w:rsidR="0073218B" w:rsidRDefault="0073218B" w:rsidP="0073218B">
            <w:r>
              <w:t xml:space="preserve">Classic </w:t>
            </w:r>
            <w:r w:rsidRPr="0073218B">
              <w:rPr>
                <w:b/>
                <w:bCs/>
              </w:rPr>
              <w:t>$5.75</w:t>
            </w:r>
          </w:p>
          <w:p w14:paraId="3012EF40" w14:textId="2675840B" w:rsidR="00E12612" w:rsidRDefault="0073218B" w:rsidP="0073218B">
            <w:r>
              <w:t xml:space="preserve">Regular or Whole Grain School </w:t>
            </w:r>
            <w:r w:rsidRPr="0073218B">
              <w:rPr>
                <w:b/>
                <w:bCs/>
              </w:rPr>
              <w:t>$6.75</w:t>
            </w:r>
          </w:p>
        </w:tc>
        <w:tc>
          <w:tcPr>
            <w:tcW w:w="954" w:type="pct"/>
          </w:tcPr>
          <w:p w14:paraId="76771CC2" w14:textId="77777777" w:rsidR="0073218B" w:rsidRDefault="0073218B" w:rsidP="0073218B">
            <w:r>
              <w:t xml:space="preserve">Classic </w:t>
            </w:r>
            <w:r w:rsidRPr="0073218B">
              <w:rPr>
                <w:b/>
                <w:bCs/>
              </w:rPr>
              <w:t>$28,750.00</w:t>
            </w:r>
          </w:p>
          <w:p w14:paraId="6171243E" w14:textId="5297279A" w:rsidR="0073218B" w:rsidRDefault="0073218B" w:rsidP="0073218B">
            <w:r>
              <w:t xml:space="preserve">Regular or Whole Grain School  </w:t>
            </w:r>
            <w:r w:rsidRPr="0073218B">
              <w:rPr>
                <w:b/>
                <w:bCs/>
              </w:rPr>
              <w:t>$</w:t>
            </w:r>
            <w:r>
              <w:rPr>
                <w:b/>
                <w:bCs/>
              </w:rPr>
              <w:t>33,750</w:t>
            </w:r>
          </w:p>
        </w:tc>
        <w:tc>
          <w:tcPr>
            <w:tcW w:w="903" w:type="pct"/>
          </w:tcPr>
          <w:p w14:paraId="4C884EFE" w14:textId="77777777" w:rsidR="00E12612" w:rsidRDefault="00E12612" w:rsidP="00717509"/>
        </w:tc>
      </w:tr>
      <w:tr w:rsidR="00E12612" w14:paraId="28BEC4CD" w14:textId="77777777" w:rsidTr="00717509">
        <w:trPr>
          <w:trHeight w:val="1247"/>
        </w:trPr>
        <w:tc>
          <w:tcPr>
            <w:tcW w:w="853" w:type="pct"/>
            <w:noWrap/>
          </w:tcPr>
          <w:p w14:paraId="73D961DF" w14:textId="77777777" w:rsidR="00E12612" w:rsidRDefault="00E12612" w:rsidP="00717509"/>
        </w:tc>
        <w:tc>
          <w:tcPr>
            <w:tcW w:w="763" w:type="pct"/>
          </w:tcPr>
          <w:p w14:paraId="758C9AA6" w14:textId="77777777" w:rsidR="00E12612" w:rsidRDefault="00E12612" w:rsidP="00717509">
            <w:pPr>
              <w:jc w:val="center"/>
              <w:rPr>
                <w:rStyle w:val="SubtleEmphasis"/>
              </w:rPr>
            </w:pPr>
            <w:r>
              <w:rPr>
                <w:rStyle w:val="SubtleEmphasis"/>
              </w:rPr>
              <w:t>Pepperoni Pizza</w:t>
            </w:r>
          </w:p>
        </w:tc>
        <w:tc>
          <w:tcPr>
            <w:tcW w:w="763" w:type="pct"/>
          </w:tcPr>
          <w:p w14:paraId="2E15CF36" w14:textId="77777777" w:rsidR="00E12612" w:rsidRDefault="00E12612" w:rsidP="00717509">
            <w:pPr>
              <w:jc w:val="center"/>
            </w:pPr>
            <w:r>
              <w:t>5,000</w:t>
            </w:r>
          </w:p>
        </w:tc>
        <w:tc>
          <w:tcPr>
            <w:tcW w:w="763" w:type="pct"/>
          </w:tcPr>
          <w:p w14:paraId="53609812" w14:textId="77777777" w:rsidR="0073218B" w:rsidRDefault="0073218B" w:rsidP="0073218B">
            <w:r>
              <w:t xml:space="preserve">Classic </w:t>
            </w:r>
            <w:r w:rsidRPr="0073218B">
              <w:rPr>
                <w:b/>
                <w:bCs/>
              </w:rPr>
              <w:t>$5.75</w:t>
            </w:r>
          </w:p>
          <w:p w14:paraId="15BB1CAB" w14:textId="3BB6C115" w:rsidR="00E12612" w:rsidRDefault="0073218B" w:rsidP="0073218B">
            <w:r>
              <w:t>Regular or Whole Grain School</w:t>
            </w:r>
            <w:r w:rsidRPr="0073218B">
              <w:rPr>
                <w:b/>
                <w:bCs/>
              </w:rPr>
              <w:t xml:space="preserve"> $6.75</w:t>
            </w:r>
          </w:p>
        </w:tc>
        <w:tc>
          <w:tcPr>
            <w:tcW w:w="954" w:type="pct"/>
          </w:tcPr>
          <w:p w14:paraId="49EE2CA8" w14:textId="428C6648" w:rsidR="0073218B" w:rsidRDefault="0073218B" w:rsidP="0073218B">
            <w:r>
              <w:t xml:space="preserve">Classic </w:t>
            </w:r>
            <w:r w:rsidRPr="0073218B">
              <w:rPr>
                <w:b/>
                <w:bCs/>
              </w:rPr>
              <w:t>$28,750.00</w:t>
            </w:r>
          </w:p>
          <w:p w14:paraId="46477BA0" w14:textId="584E350E" w:rsidR="00E12612" w:rsidRDefault="0073218B" w:rsidP="0073218B">
            <w:r>
              <w:t xml:space="preserve">Regular or Whole Grain School </w:t>
            </w:r>
            <w:r>
              <w:t xml:space="preserve"> </w:t>
            </w:r>
            <w:r w:rsidRPr="0073218B">
              <w:rPr>
                <w:b/>
                <w:bCs/>
              </w:rPr>
              <w:t>$</w:t>
            </w:r>
            <w:r>
              <w:rPr>
                <w:b/>
                <w:bCs/>
              </w:rPr>
              <w:t>33,750</w:t>
            </w:r>
          </w:p>
        </w:tc>
        <w:tc>
          <w:tcPr>
            <w:tcW w:w="903" w:type="pct"/>
          </w:tcPr>
          <w:p w14:paraId="3F5E891C" w14:textId="77777777" w:rsidR="00E12612" w:rsidRDefault="00E12612" w:rsidP="00717509"/>
        </w:tc>
      </w:tr>
      <w:tr w:rsidR="00E12612" w14:paraId="48E87577" w14:textId="77777777" w:rsidTr="00717509">
        <w:tc>
          <w:tcPr>
            <w:tcW w:w="853" w:type="pct"/>
            <w:noWrap/>
          </w:tcPr>
          <w:p w14:paraId="3990A6D8" w14:textId="77777777" w:rsidR="00E12612" w:rsidRDefault="00E12612" w:rsidP="00717509"/>
        </w:tc>
        <w:tc>
          <w:tcPr>
            <w:tcW w:w="763" w:type="pct"/>
          </w:tcPr>
          <w:p w14:paraId="7D5D730C" w14:textId="77777777" w:rsidR="00E12612" w:rsidRDefault="00E12612" w:rsidP="00717509">
            <w:pPr>
              <w:rPr>
                <w:rStyle w:val="SubtleEmphasis"/>
              </w:rPr>
            </w:pPr>
          </w:p>
        </w:tc>
        <w:tc>
          <w:tcPr>
            <w:tcW w:w="763" w:type="pct"/>
          </w:tcPr>
          <w:p w14:paraId="0513979D" w14:textId="77777777" w:rsidR="00E12612" w:rsidRDefault="00E12612" w:rsidP="00717509"/>
        </w:tc>
        <w:tc>
          <w:tcPr>
            <w:tcW w:w="763" w:type="pct"/>
          </w:tcPr>
          <w:p w14:paraId="5BAC0613" w14:textId="77777777" w:rsidR="00E12612" w:rsidRDefault="00E12612" w:rsidP="00717509"/>
        </w:tc>
        <w:tc>
          <w:tcPr>
            <w:tcW w:w="954" w:type="pct"/>
          </w:tcPr>
          <w:p w14:paraId="7171EEE6" w14:textId="5AFCF1A6" w:rsidR="00E12612" w:rsidRPr="0073218B" w:rsidRDefault="0073218B" w:rsidP="00717509">
            <w:pPr>
              <w:rPr>
                <w:b/>
                <w:bCs/>
              </w:rPr>
            </w:pPr>
            <w:r>
              <w:t xml:space="preserve">Classic </w:t>
            </w:r>
            <w:r>
              <w:rPr>
                <w:b/>
                <w:bCs/>
              </w:rPr>
              <w:t>$57,500</w:t>
            </w:r>
          </w:p>
        </w:tc>
        <w:tc>
          <w:tcPr>
            <w:tcW w:w="903" w:type="pct"/>
          </w:tcPr>
          <w:p w14:paraId="3AE6F241" w14:textId="77777777" w:rsidR="00E12612" w:rsidRDefault="00E12612" w:rsidP="00717509"/>
        </w:tc>
      </w:tr>
      <w:tr w:rsidR="00E12612" w14:paraId="676FEE1D" w14:textId="77777777" w:rsidTr="00717509">
        <w:tc>
          <w:tcPr>
            <w:tcW w:w="853" w:type="pct"/>
            <w:noWrap/>
          </w:tcPr>
          <w:p w14:paraId="18EF2582" w14:textId="77777777" w:rsidR="00E12612" w:rsidRDefault="00E12612" w:rsidP="00717509">
            <w:r>
              <w:t>Total</w:t>
            </w:r>
          </w:p>
        </w:tc>
        <w:tc>
          <w:tcPr>
            <w:tcW w:w="763" w:type="pct"/>
          </w:tcPr>
          <w:p w14:paraId="297EA673" w14:textId="77777777" w:rsidR="00E12612" w:rsidRDefault="00E12612" w:rsidP="00717509">
            <w:pPr>
              <w:pStyle w:val="DecimalAligned"/>
            </w:pPr>
          </w:p>
        </w:tc>
        <w:tc>
          <w:tcPr>
            <w:tcW w:w="763" w:type="pct"/>
          </w:tcPr>
          <w:p w14:paraId="7AC4426B" w14:textId="77777777" w:rsidR="00E12612" w:rsidRDefault="00E12612" w:rsidP="00717509">
            <w:pPr>
              <w:pStyle w:val="DecimalAligned"/>
            </w:pPr>
          </w:p>
        </w:tc>
        <w:tc>
          <w:tcPr>
            <w:tcW w:w="763" w:type="pct"/>
          </w:tcPr>
          <w:p w14:paraId="56350F5C" w14:textId="77777777" w:rsidR="00E12612" w:rsidRDefault="00E12612" w:rsidP="00717509">
            <w:pPr>
              <w:pStyle w:val="DecimalAligned"/>
            </w:pPr>
          </w:p>
        </w:tc>
        <w:tc>
          <w:tcPr>
            <w:tcW w:w="954" w:type="pct"/>
          </w:tcPr>
          <w:p w14:paraId="4C9B2C70" w14:textId="1022338C" w:rsidR="00E12612" w:rsidRPr="0073218B" w:rsidRDefault="0073218B" w:rsidP="00717509">
            <w:pPr>
              <w:pStyle w:val="DecimalAligned"/>
              <w:rPr>
                <w:b/>
                <w:bCs/>
              </w:rPr>
            </w:pPr>
            <w:r>
              <w:t xml:space="preserve">Regular or Whole Grain School </w:t>
            </w:r>
            <w:r>
              <w:rPr>
                <w:b/>
                <w:bCs/>
              </w:rPr>
              <w:t>$67,500</w:t>
            </w:r>
          </w:p>
        </w:tc>
        <w:tc>
          <w:tcPr>
            <w:tcW w:w="903" w:type="pct"/>
          </w:tcPr>
          <w:p w14:paraId="7804B3BA" w14:textId="77777777" w:rsidR="00E12612" w:rsidRDefault="00E12612" w:rsidP="00717509">
            <w:pPr>
              <w:pStyle w:val="DecimalAligned"/>
            </w:pPr>
          </w:p>
        </w:tc>
      </w:tr>
    </w:tbl>
    <w:p w14:paraId="712822C8" w14:textId="77777777" w:rsidR="00E12612" w:rsidRPr="002F2A82" w:rsidRDefault="00E12612" w:rsidP="00E12612">
      <w:pPr>
        <w:spacing w:after="0" w:line="240" w:lineRule="auto"/>
        <w:rPr>
          <w:rFonts w:ascii="Arial Narrow" w:hAnsi="Arial Narrow" w:cs="Lucida Sans Unicode"/>
          <w:sz w:val="24"/>
          <w:szCs w:val="24"/>
        </w:rPr>
      </w:pPr>
    </w:p>
    <w:p w14:paraId="2BCB5675" w14:textId="77777777" w:rsidR="00E12612" w:rsidRDefault="00E12612" w:rsidP="00E1261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 Narrow" w:hAnsi="Arial Narrow" w:cs="Lucida Sans Unicode"/>
          <w:b/>
          <w:bCs/>
          <w:sz w:val="24"/>
          <w:szCs w:val="24"/>
        </w:rPr>
      </w:pPr>
    </w:p>
    <w:p w14:paraId="32C08D76" w14:textId="77777777" w:rsidR="00E12612" w:rsidRDefault="00E12612" w:rsidP="00E1261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 Narrow" w:hAnsi="Arial Narrow" w:cs="Lucida Sans Unicode"/>
          <w:b/>
          <w:bCs/>
          <w:sz w:val="24"/>
          <w:szCs w:val="24"/>
        </w:rPr>
      </w:pPr>
    </w:p>
    <w:p w14:paraId="1FFFC23C" w14:textId="77777777" w:rsidR="00E12612" w:rsidRDefault="00E12612" w:rsidP="00E12612">
      <w:pPr>
        <w:autoSpaceDE w:val="0"/>
        <w:autoSpaceDN w:val="0"/>
        <w:adjustRightInd w:val="0"/>
        <w:spacing w:after="0" w:line="240" w:lineRule="auto"/>
        <w:rPr>
          <w:rFonts w:ascii="Arial Narrow" w:hAnsi="Arial Narrow" w:cs="Lucida Sans Unicode"/>
          <w:b/>
          <w:bCs/>
          <w:sz w:val="24"/>
          <w:szCs w:val="24"/>
        </w:rPr>
      </w:pPr>
    </w:p>
    <w:p w14:paraId="31CB2D86" w14:textId="77777777" w:rsidR="00E12612" w:rsidRDefault="00E12612" w:rsidP="00E1261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 Narrow" w:hAnsi="Arial Narrow" w:cs="Lucida Sans Unicode"/>
          <w:b/>
          <w:bCs/>
          <w:sz w:val="24"/>
          <w:szCs w:val="24"/>
        </w:rPr>
      </w:pPr>
    </w:p>
    <w:p w14:paraId="6D7902C2" w14:textId="77777777" w:rsidR="0018489D" w:rsidRDefault="0018489D"/>
    <w:sectPr w:rsidR="001848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49CA" w14:textId="77777777" w:rsidR="00BD4C45" w:rsidRDefault="00BD4C45" w:rsidP="00E12612">
      <w:pPr>
        <w:spacing w:after="0" w:line="240" w:lineRule="auto"/>
      </w:pPr>
      <w:r>
        <w:separator/>
      </w:r>
    </w:p>
  </w:endnote>
  <w:endnote w:type="continuationSeparator" w:id="0">
    <w:p w14:paraId="7A680850" w14:textId="77777777" w:rsidR="00BD4C45" w:rsidRDefault="00BD4C45" w:rsidP="00E1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Calibri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A83AF" w14:textId="77777777" w:rsidR="00BD4C45" w:rsidRDefault="00BD4C45" w:rsidP="00E12612">
      <w:pPr>
        <w:spacing w:after="0" w:line="240" w:lineRule="auto"/>
      </w:pPr>
      <w:r>
        <w:separator/>
      </w:r>
    </w:p>
  </w:footnote>
  <w:footnote w:type="continuationSeparator" w:id="0">
    <w:p w14:paraId="227519EF" w14:textId="77777777" w:rsidR="00BD4C45" w:rsidRDefault="00BD4C45" w:rsidP="00E1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E12612" w14:paraId="536DC6F2" w14:textId="77777777" w:rsidTr="00717509">
      <w:tc>
        <w:tcPr>
          <w:tcW w:w="3116" w:type="dxa"/>
          <w:vAlign w:val="center"/>
        </w:tcPr>
        <w:p w14:paraId="1B2E579E" w14:textId="77777777" w:rsidR="00E12612" w:rsidRDefault="00E12612" w:rsidP="00E12612">
          <w:pPr>
            <w:pStyle w:val="Header"/>
            <w:jc w:val="center"/>
          </w:pPr>
          <w:r w:rsidRPr="00D04011">
            <w:rPr>
              <w:rFonts w:ascii="Times New Roman" w:eastAsia="ヒラギノ角ゴ Pro W3" w:hAnsi="Times New Roman" w:cs="Times New Roman"/>
              <w:noProof/>
              <w:color w:val="000000"/>
              <w:sz w:val="24"/>
              <w:szCs w:val="24"/>
            </w:rPr>
            <w:drawing>
              <wp:inline distT="0" distB="0" distL="0" distR="0" wp14:anchorId="10487346" wp14:editId="467B0B50">
                <wp:extent cx="1523783" cy="859155"/>
                <wp:effectExtent l="0" t="0" r="635" b="0"/>
                <wp:docPr id="1" name="Picture 1" descr="Image result for huron valley school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 result for huron valley school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5494" cy="871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  <w:vAlign w:val="center"/>
        </w:tcPr>
        <w:p w14:paraId="5BE4125A" w14:textId="77777777" w:rsidR="00E12612" w:rsidRDefault="00E12612" w:rsidP="00E12612">
          <w:pPr>
            <w:pStyle w:val="Header"/>
            <w:jc w:val="center"/>
          </w:pPr>
        </w:p>
      </w:tc>
      <w:tc>
        <w:tcPr>
          <w:tcW w:w="3117" w:type="dxa"/>
          <w:vAlign w:val="center"/>
        </w:tcPr>
        <w:p w14:paraId="57A0EB3F" w14:textId="77777777" w:rsidR="00E12612" w:rsidRDefault="00E12612" w:rsidP="00E1261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96DCF74" wp14:editId="04BC9BB7">
                <wp:extent cx="890270" cy="231775"/>
                <wp:effectExtent l="0" t="0" r="5080" b="0"/>
                <wp:docPr id="28" name="Picture 28" descr="Michigan Association of Counti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7623CE" w14:textId="77777777" w:rsidR="00E12612" w:rsidRPr="008B05C6" w:rsidRDefault="00E12612" w:rsidP="00E12612">
    <w:pPr>
      <w:pStyle w:val="Header"/>
    </w:pPr>
  </w:p>
  <w:p w14:paraId="1B4F5996" w14:textId="77777777" w:rsidR="00E12612" w:rsidRDefault="00E12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B3943"/>
    <w:multiLevelType w:val="multilevel"/>
    <w:tmpl w:val="FF6E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764C0B10"/>
    <w:multiLevelType w:val="hybridMultilevel"/>
    <w:tmpl w:val="4460888E"/>
    <w:lvl w:ilvl="0" w:tplc="AA260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658C0"/>
    <w:multiLevelType w:val="hybridMultilevel"/>
    <w:tmpl w:val="14CC510E"/>
    <w:lvl w:ilvl="0" w:tplc="22E05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6723">
    <w:abstractNumId w:val="0"/>
  </w:num>
  <w:num w:numId="2" w16cid:durableId="950010845">
    <w:abstractNumId w:val="2"/>
  </w:num>
  <w:num w:numId="3" w16cid:durableId="856426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12"/>
    <w:rsid w:val="0018489D"/>
    <w:rsid w:val="003D7857"/>
    <w:rsid w:val="004E4AE7"/>
    <w:rsid w:val="0073218B"/>
    <w:rsid w:val="0078774E"/>
    <w:rsid w:val="00A6087B"/>
    <w:rsid w:val="00BD4C45"/>
    <w:rsid w:val="00E1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E40B1"/>
  <w15:chartTrackingRefBased/>
  <w15:docId w15:val="{CEAC0AF4-AAD9-4FD9-B331-1AD66520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61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61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E12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612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E126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E12612"/>
  </w:style>
  <w:style w:type="paragraph" w:customStyle="1" w:styleId="DecimalAligned">
    <w:name w:val="Decimal Aligned"/>
    <w:basedOn w:val="Normal"/>
    <w:uiPriority w:val="40"/>
    <w:qFormat/>
    <w:rsid w:val="00E12612"/>
    <w:pPr>
      <w:tabs>
        <w:tab w:val="decimal" w:pos="360"/>
      </w:tabs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12612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2612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E12612"/>
    <w:rPr>
      <w:i/>
      <w:iCs/>
    </w:rPr>
  </w:style>
  <w:style w:type="table" w:styleId="TableGrid">
    <w:name w:val="Table Grid"/>
    <w:basedOn w:val="TableNormal"/>
    <w:uiPriority w:val="39"/>
    <w:rsid w:val="00E1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61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61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Thompson</dc:creator>
  <cp:keywords/>
  <dc:description/>
  <cp:lastModifiedBy>Karen Partlo</cp:lastModifiedBy>
  <cp:revision>2</cp:revision>
  <dcterms:created xsi:type="dcterms:W3CDTF">2025-09-19T16:41:00Z</dcterms:created>
  <dcterms:modified xsi:type="dcterms:W3CDTF">2025-09-19T18:39:00Z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f8944fac-dcd8-4abb-a992-729a295c349c</vt:lpwstr>
  </property>
</Properties>
</file>